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AB" w:rsidRPr="003C4EAB" w:rsidRDefault="003C4EAB" w:rsidP="003C4EAB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sz w:val="20"/>
          <w:szCs w:val="20"/>
          <w:lang w:eastAsia="es-MX"/>
        </w:rPr>
      </w:pPr>
      <w:r w:rsidRPr="003C4EAB">
        <w:rPr>
          <w:rFonts w:ascii="Tahoma" w:eastAsia="Times New Roman" w:hAnsi="Tahoma" w:cs="Tahoma"/>
          <w:b/>
          <w:sz w:val="20"/>
          <w:szCs w:val="20"/>
          <w:lang w:eastAsia="es-MX"/>
        </w:rPr>
        <w:t>Ley de Ingresos del Municipio de Querétaro, Qro., para el Ejercicio Fiscal 202</w:t>
      </w:r>
      <w:r w:rsidR="000B77DC">
        <w:rPr>
          <w:rFonts w:ascii="Tahoma" w:eastAsia="Times New Roman" w:hAnsi="Tahoma" w:cs="Tahoma"/>
          <w:b/>
          <w:sz w:val="20"/>
          <w:szCs w:val="20"/>
          <w:lang w:eastAsia="es-MX"/>
        </w:rPr>
        <w:t>4</w:t>
      </w:r>
    </w:p>
    <w:p w:rsidR="000B77DC" w:rsidRPr="000B77DC" w:rsidRDefault="000B77DC" w:rsidP="000B77DC">
      <w:pPr>
        <w:spacing w:before="100" w:beforeAutospacing="1" w:after="100" w:afterAutospacing="1" w:line="240" w:lineRule="auto"/>
        <w:rPr>
          <w:rFonts w:ascii="CIDFont+F2" w:hAnsi="CIDFont+F2" w:cs="CIDFont+F2"/>
          <w:sz w:val="18"/>
          <w:szCs w:val="18"/>
        </w:rPr>
      </w:pPr>
      <w:r w:rsidRPr="000B77DC">
        <w:rPr>
          <w:rFonts w:ascii="CIDFont+F2" w:hAnsi="CIDFont+F2" w:cs="CIDFont+F2"/>
          <w:sz w:val="18"/>
          <w:szCs w:val="18"/>
        </w:rPr>
        <w:t>2. Por la ejecución de deslindes catastrales para efectos fiscales, se causarán y pagarán:</w:t>
      </w:r>
    </w:p>
    <w:p w:rsidR="000B77DC" w:rsidRDefault="000B77DC" w:rsidP="000B77DC">
      <w:pPr>
        <w:spacing w:before="100" w:beforeAutospacing="1" w:after="100" w:afterAutospacing="1" w:line="240" w:lineRule="auto"/>
        <w:rPr>
          <w:rFonts w:ascii="CIDFont+F2" w:hAnsi="CIDFont+F2" w:cs="CIDFont+F2"/>
          <w:sz w:val="18"/>
          <w:szCs w:val="18"/>
        </w:rPr>
      </w:pPr>
      <w:r w:rsidRPr="000B77DC">
        <w:rPr>
          <w:rFonts w:ascii="CIDFont+F2" w:hAnsi="CIDFont+F2" w:cs="CIDFont+F2"/>
          <w:sz w:val="18"/>
          <w:szCs w:val="18"/>
        </w:rPr>
        <w:t>a) De predios dentro de la circunscripción territorial del Municipio de Querétaro, con una superficie de:</w:t>
      </w:r>
    </w:p>
    <w:p w:rsidR="007A23DF" w:rsidRDefault="000B77DC" w:rsidP="000B77DC">
      <w:pPr>
        <w:spacing w:before="100" w:beforeAutospacing="1" w:after="100" w:afterAutospacing="1" w:line="240" w:lineRule="auto"/>
        <w:jc w:val="center"/>
        <w:rPr>
          <w:rFonts w:ascii="CIDFont+F2" w:hAnsi="CIDFont+F2" w:cs="CIDFont+F2"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033D4546" wp14:editId="7C65DBE1">
            <wp:extent cx="5612130" cy="137922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DF" w:rsidRDefault="007A23DF" w:rsidP="007A23DF">
      <w:pPr>
        <w:spacing w:before="100" w:beforeAutospacing="1" w:after="100" w:afterAutospacing="1" w:line="240" w:lineRule="auto"/>
        <w:rPr>
          <w:rFonts w:ascii="CIDFont+F2" w:hAnsi="CIDFont+F2" w:cs="CIDFont+F2"/>
          <w:sz w:val="18"/>
          <w:szCs w:val="18"/>
        </w:rPr>
      </w:pPr>
    </w:p>
    <w:p w:rsidR="000B77DC" w:rsidRP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B77DC">
        <w:rPr>
          <w:rFonts w:ascii="Tahoma" w:hAnsi="Tahoma" w:cs="Tahoma"/>
          <w:i/>
          <w:color w:val="auto"/>
          <w:sz w:val="20"/>
          <w:szCs w:val="20"/>
        </w:rPr>
        <w:t>b) Cuando el usuario, topógrafo o dictaminador catastral adjunte a su solicitud de deslinde catastral, el plano de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levantamiento topográfico del predio, realizado conforme a las normas técnicas para ejecución de deslindes de la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Dirección de Catastro del Estado de Querétaro y procedimientos de la Dirección de Catastro o efectuados por topógrafos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de la Dirección de Catastro o topógrafos o dictaminadores catastrales con equipo electrónico digital inscrito en el padrón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de contratistas de Gobierno del Estado de Querétaro y en el padrón de topógrafos de la Dirección de Catastro del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Municipio de Querétaro, se pagará el 70% de los montos establecidos en el inciso a) que antecede; el Topógrafo 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dictaminador catastral será responsable de realizar la investigación de antecedentes de propiedad del predio objeto de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deslinde, así como de los predios colindantes en el Registro Público de la Propiedad y del Comercio, también deberá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identificar y ubicar los domicilios de los propietarios o poseedores de los predios colindantes a efecto de estar en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posibilidad de notificarlos sobre la ejecución del deslinde catastral. Dicho expediente se someterá a revisión por parte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de la Dirección de Catastro y en caso de que ésta detectara alguna inconsistencia atribuible al topógrafo externo 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dictaminador catastral que motive una nueva revisión del expediente, se causarán y pagarán 21.00 UMA por la citada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revisión. El topógrafo o dictaminador catastral a que se hace referencia en este párrafo estará obligado a efectuar las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modificaciones, actualizaciones y anotaciones que la Dirección de Catastro establezca conforme al desarrollo del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procedimiento administrativo de deslinde catastral.</w:t>
      </w:r>
    </w:p>
    <w:p w:rsid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B77DC" w:rsidRP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B77DC">
        <w:rPr>
          <w:rFonts w:ascii="Tahoma" w:hAnsi="Tahoma" w:cs="Tahoma"/>
          <w:i/>
          <w:color w:val="auto"/>
          <w:sz w:val="20"/>
          <w:szCs w:val="20"/>
        </w:rPr>
        <w:t>c) Cuando el solicitante del deslinde catastral, debidamente citado, no asista a la diligencia para señalar los linderos de su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propiedad o asistiendo se niegue a señalarlos, o después de dicha diligencia modifique la ubicación de alguno de los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linderos, se causarán y pagará un 20% de los montos establecidos en el inciso a) del presente numeral, por concepto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de reinicio o reprogramación. Este pago se deberá realizar en un plazo no mayor de un mes contado a partir de la fecha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de programación inicial de la diligencia de señalamiento de linderos; en caso contrario se archivará la solicitud, sin que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bookmarkStart w:id="0" w:name="_GoBack"/>
      <w:bookmarkEnd w:id="0"/>
      <w:r w:rsidRPr="000B77DC">
        <w:rPr>
          <w:rFonts w:ascii="Tahoma" w:hAnsi="Tahoma" w:cs="Tahoma"/>
          <w:i/>
          <w:color w:val="auto"/>
          <w:sz w:val="20"/>
          <w:szCs w:val="20"/>
        </w:rPr>
        <w:t>el interesado pueda solicitar la devolución de los derechos previamente pagados.</w:t>
      </w:r>
    </w:p>
    <w:p w:rsid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B77DC" w:rsidRP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B77DC">
        <w:rPr>
          <w:rFonts w:ascii="Tahoma" w:hAnsi="Tahoma" w:cs="Tahoma"/>
          <w:i/>
          <w:color w:val="auto"/>
          <w:sz w:val="20"/>
          <w:szCs w:val="20"/>
        </w:rPr>
        <w:t>d) Cuando el solicitante del deslinde catastral, debidamente citado, en la diligencia manifieste desconocer los linderos de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su propiedad, se causará y pagará un 20% de los montos establecidos en el inciso a) del presente numeral por concepto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de inicio del trámite de replanteo topográfico, asimismo deberá pagar la diferencia que resulte entre el monto pagado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por la ejecución del deslinde y el monto por los derechos establecidos en el numeral 3, inciso a) de este apartado. Estos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 xml:space="preserve">pagos se deberán realizar en un plazo no mayor de 10 días hábiles posterior a la fecha de </w:t>
      </w:r>
      <w:r w:rsidRPr="000B77DC">
        <w:rPr>
          <w:rFonts w:ascii="Tahoma" w:hAnsi="Tahoma" w:cs="Tahoma"/>
          <w:i/>
          <w:color w:val="auto"/>
          <w:sz w:val="20"/>
          <w:szCs w:val="20"/>
        </w:rPr>
        <w:lastRenderedPageBreak/>
        <w:t>programación inicial de la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diligencia de deslinde; en caso contrario se archivará la solicitud, sin que el interesado pueda solicitar la devolución de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los derechos previamente pagados.</w:t>
      </w:r>
    </w:p>
    <w:p w:rsid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B77DC" w:rsidRP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B77DC">
        <w:rPr>
          <w:rFonts w:ascii="Tahoma" w:hAnsi="Tahoma" w:cs="Tahoma"/>
          <w:i/>
          <w:color w:val="auto"/>
          <w:sz w:val="20"/>
          <w:szCs w:val="20"/>
        </w:rPr>
        <w:t>e) Cuando derivado del deslinde catastral se detecten diferencias en cuanto a la superficie del bien objeto del mismo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manifestada al inicio de dicho trámite, el contribuyente deberá pagar la cantidad correspondiente a la diferencia entre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los derechos pagados inicialmente y los efectivamente causados conforme a la superficie derivada de la realización del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procedimiento.</w:t>
      </w:r>
    </w:p>
    <w:p w:rsid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B77DC" w:rsidRP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B77DC">
        <w:rPr>
          <w:rFonts w:ascii="Tahoma" w:hAnsi="Tahoma" w:cs="Tahoma"/>
          <w:i/>
          <w:color w:val="auto"/>
          <w:sz w:val="20"/>
          <w:szCs w:val="20"/>
        </w:rPr>
        <w:t>f) Cuando una vez concluido el procedimiento de deslinde catastral sea necesario realizar alguna modificación al plano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resultante del mismo, con motivo de pronunciamiento, opinión técnica o resolución de autoridad competente, el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solicitante deberá pagar la cantidad correspondiente al 20% sobre el monto de los derechos establecidos en el inciso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a) del presente numeral.</w:t>
      </w:r>
    </w:p>
    <w:p w:rsid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A23DF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B77DC">
        <w:rPr>
          <w:rFonts w:ascii="Tahoma" w:hAnsi="Tahoma" w:cs="Tahoma"/>
          <w:i/>
          <w:color w:val="auto"/>
          <w:sz w:val="20"/>
          <w:szCs w:val="20"/>
        </w:rPr>
        <w:t>g) Cuando el interesado solicite la reactivación de un procedimiento de deslinde catastral que se hubiese declarado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caduco, en términos de las disposiciones legales aplicables, se pagará la cantidad correspondiente al 50% de los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derechos establecidos en el inciso a) del presente numeral.</w:t>
      </w:r>
    </w:p>
    <w:p w:rsid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B77DC" w:rsidRP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B77DC">
        <w:rPr>
          <w:rFonts w:ascii="Tahoma" w:hAnsi="Tahoma" w:cs="Tahoma"/>
          <w:i/>
          <w:color w:val="auto"/>
          <w:sz w:val="20"/>
          <w:szCs w:val="20"/>
        </w:rPr>
        <w:t>h) Cuando el interesado solicite la suspensión de un procedimiento de deslinde catastral, por cada solicitud subsecuente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a la primera hasta la sexta, se pagarán 25.00 UMA por cada suspensión; a partir de la séptima solicitud de suspensión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se considerará una reactivación del procedimiento y se pagará la cantidad correspondiente al 50% de los derechos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establecidos en el inciso a) del presente numeral.</w:t>
      </w:r>
    </w:p>
    <w:p w:rsid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B77DC" w:rsidRP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B77DC">
        <w:rPr>
          <w:rFonts w:ascii="Tahoma" w:hAnsi="Tahoma" w:cs="Tahoma"/>
          <w:i/>
          <w:color w:val="auto"/>
          <w:sz w:val="20"/>
          <w:szCs w:val="20"/>
        </w:rPr>
        <w:t>i) Por la cancelación de un procedimiento de deslinde catastral concluido que no haya sido protocolizado a solicitud del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interesado por causas ajenas a la Dirección de Catastro, se causará y pagará el equivalente a 15.00 UMA.</w:t>
      </w:r>
    </w:p>
    <w:p w:rsid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B77DC" w:rsidRDefault="000B77DC" w:rsidP="000B77DC">
      <w:pPr>
        <w:pStyle w:val="Default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B77DC">
        <w:rPr>
          <w:rFonts w:ascii="Tahoma" w:hAnsi="Tahoma" w:cs="Tahoma"/>
          <w:i/>
          <w:color w:val="auto"/>
          <w:sz w:val="20"/>
          <w:szCs w:val="20"/>
        </w:rPr>
        <w:t>j) Por la certificación de planos de deslinde catastral producto de la modificación, rectificación o aclaración de linderos, a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solicitud del propietario, se causará y pagará el 25% de los derechos causados por el deslinde catastral determinado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conforme a lo previsto en el numeral de la presente fracción. La modificación, rectificación o aclaración respectiva se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deberá manifestar en un plazo máximo de seis meses calendario posteriores a la fecha de haber concluido el</w:t>
      </w:r>
      <w:r>
        <w:rPr>
          <w:rFonts w:ascii="Tahoma" w:hAnsi="Tahoma" w:cs="Tahoma"/>
          <w:i/>
          <w:color w:val="auto"/>
          <w:sz w:val="20"/>
          <w:szCs w:val="20"/>
        </w:rPr>
        <w:t xml:space="preserve"> </w:t>
      </w:r>
      <w:r w:rsidRPr="000B77DC">
        <w:rPr>
          <w:rFonts w:ascii="Tahoma" w:hAnsi="Tahoma" w:cs="Tahoma"/>
          <w:i/>
          <w:color w:val="auto"/>
          <w:sz w:val="20"/>
          <w:szCs w:val="20"/>
        </w:rPr>
        <w:t>procedimiento de deslinde.</w:t>
      </w:r>
    </w:p>
    <w:sectPr w:rsidR="000B7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7C6A81"/>
    <w:multiLevelType w:val="multilevel"/>
    <w:tmpl w:val="1472B33C"/>
    <w:lvl w:ilvl="0">
      <w:start w:val="1"/>
      <w:numFmt w:val="ideographDigital"/>
      <w:lvlText w:val=""/>
      <w:lvlJc w:val="left"/>
    </w:lvl>
    <w:lvl w:ilvl="1">
      <w:start w:val="1"/>
      <w:numFmt w:val="upp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start w:val="1"/>
      <w:numFmt w:val="lowerLetter"/>
      <w:lvlText w:null="1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C1A781E"/>
    <w:multiLevelType w:val="multilevel"/>
    <w:tmpl w:val="ACE696CC"/>
    <w:lvl w:ilvl="0">
      <w:start w:val="1"/>
      <w:numFmt w:val="ideographDigital"/>
      <w:lvlText w:val=""/>
      <w:lvlJc w:val="left"/>
    </w:lvl>
    <w:lvl w:ilvl="1">
      <w:start w:val="1"/>
      <w:numFmt w:val="upp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start w:val="1"/>
      <w:numFmt w:val="lowerLetter"/>
      <w:lvlText w:null="1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77590B2"/>
    <w:multiLevelType w:val="multilevel"/>
    <w:tmpl w:val="A10A6F56"/>
    <w:lvl w:ilvl="0">
      <w:start w:val="1"/>
      <w:numFmt w:val="ideographDigital"/>
      <w:lvlText w:val=""/>
      <w:lvlJc w:val="left"/>
    </w:lvl>
    <w:lvl w:ilvl="1">
      <w:start w:val="1"/>
      <w:numFmt w:val="upp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start w:val="1"/>
      <w:numFmt w:val="lowerLetter"/>
      <w:lvlText w:null="1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902ED"/>
    <w:multiLevelType w:val="multilevel"/>
    <w:tmpl w:val="D2382986"/>
    <w:lvl w:ilvl="0">
      <w:start w:val="1"/>
      <w:numFmt w:val="ideographDigital"/>
      <w:lvlText w:val=""/>
      <w:lvlJc w:val="left"/>
    </w:lvl>
    <w:lvl w:ilvl="1">
      <w:start w:val="1"/>
      <w:numFmt w:val="upp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start w:val="1"/>
      <w:numFmt w:val="lowerLetter"/>
      <w:lvlText w:null="1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3108F"/>
    <w:multiLevelType w:val="hybridMultilevel"/>
    <w:tmpl w:val="BC60295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C1A4"/>
    <w:multiLevelType w:val="multilevel"/>
    <w:tmpl w:val="4918870C"/>
    <w:lvl w:ilvl="0">
      <w:start w:val="1"/>
      <w:numFmt w:val="ideographDigital"/>
      <w:lvlText w:val=""/>
      <w:lvlJc w:val="left"/>
    </w:lvl>
    <w:lvl w:ilvl="1">
      <w:start w:val="1"/>
      <w:numFmt w:val="upp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start w:val="1"/>
      <w:numFmt w:val="lowerLetter"/>
      <w:lvlText w:null="1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ED8BB"/>
    <w:multiLevelType w:val="multilevel"/>
    <w:tmpl w:val="6C404336"/>
    <w:lvl w:ilvl="0">
      <w:start w:val="1"/>
      <w:numFmt w:val="ideographDigital"/>
      <w:lvlText w:val=""/>
      <w:lvlJc w:val="left"/>
    </w:lvl>
    <w:lvl w:ilvl="1">
      <w:start w:val="1"/>
      <w:numFmt w:val="upp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start w:val="1"/>
      <w:numFmt w:val="lowerLetter"/>
      <w:lvlText w:null="1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885F4"/>
    <w:multiLevelType w:val="multilevel"/>
    <w:tmpl w:val="CFAEE00A"/>
    <w:lvl w:ilvl="0">
      <w:start w:val="1"/>
      <w:numFmt w:val="ideographDigital"/>
      <w:lvlText w:val=""/>
      <w:lvlJc w:val="left"/>
    </w:lvl>
    <w:lvl w:ilvl="1">
      <w:start w:val="1"/>
      <w:numFmt w:val="upp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start w:val="1"/>
      <w:numFmt w:val="lowerLetter"/>
      <w:lvlText w:null="1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82868"/>
    <w:multiLevelType w:val="multilevel"/>
    <w:tmpl w:val="921A5456"/>
    <w:lvl w:ilvl="0">
      <w:start w:val="1"/>
      <w:numFmt w:val="ideographDigital"/>
      <w:lvlText w:val=""/>
      <w:lvlJc w:val="left"/>
    </w:lvl>
    <w:lvl w:ilvl="1">
      <w:start w:val="1"/>
      <w:numFmt w:val="upperRoman"/>
      <w:lvlText w:val="%1"/>
      <w:lvlJc w:val="left"/>
    </w:lvl>
    <w:lvl w:ilvl="2">
      <w:start w:val="1"/>
      <w:numFmt w:val="ideographDigital"/>
      <w:lvlText w:null="1"/>
      <w:lvlJc w:val="left"/>
    </w:lvl>
    <w:lvl w:ilvl="3">
      <w:start w:val="1"/>
      <w:numFmt w:val="lowerLetter"/>
      <w:lvlText w:null="1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D3"/>
    <w:rsid w:val="00012448"/>
    <w:rsid w:val="000B77DC"/>
    <w:rsid w:val="002E522F"/>
    <w:rsid w:val="003C4EAB"/>
    <w:rsid w:val="004272D3"/>
    <w:rsid w:val="007A23DF"/>
    <w:rsid w:val="008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3C4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C4E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3C4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C4E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ivonne.moreno</dc:creator>
  <cp:lastModifiedBy>Sergio Alberto Mireles Ugalde</cp:lastModifiedBy>
  <cp:revision>6</cp:revision>
  <dcterms:created xsi:type="dcterms:W3CDTF">2021-03-03T21:51:00Z</dcterms:created>
  <dcterms:modified xsi:type="dcterms:W3CDTF">2024-02-20T19:48:00Z</dcterms:modified>
</cp:coreProperties>
</file>